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CADFF" w14:textId="77777777" w:rsidR="00032FDE" w:rsidRPr="00D93BB9" w:rsidRDefault="00032FDE" w:rsidP="00032FDE">
      <w:pPr>
        <w:spacing w:after="0" w:line="480" w:lineRule="auto"/>
        <w:rPr>
          <w:rFonts w:ascii="Times New Roman" w:hAnsi="Times New Roman" w:cs="Times New Roman"/>
          <w:b/>
          <w:sz w:val="28"/>
          <w:szCs w:val="24"/>
        </w:rPr>
      </w:pPr>
      <w:r w:rsidRPr="00D93BB9">
        <w:rPr>
          <w:rFonts w:ascii="Times New Roman" w:hAnsi="Times New Roman" w:cs="Times New Roman"/>
          <w:b/>
          <w:sz w:val="28"/>
          <w:szCs w:val="24"/>
        </w:rPr>
        <w:t>Supplementary Material</w:t>
      </w:r>
    </w:p>
    <w:p w14:paraId="346C1562" w14:textId="77777777" w:rsidR="00032FDE" w:rsidRDefault="00032FDE" w:rsidP="00032FDE"/>
    <w:p w14:paraId="317D3349" w14:textId="77777777" w:rsidR="00032FDE" w:rsidRPr="00192741" w:rsidRDefault="00032FDE" w:rsidP="00032FDE">
      <w:pPr>
        <w:pStyle w:val="MDPI12title"/>
      </w:pPr>
      <w:r w:rsidRPr="00192741">
        <w:t xml:space="preserve">Untargeted </w:t>
      </w:r>
      <w:r>
        <w:t>C</w:t>
      </w:r>
      <w:r w:rsidRPr="00192741">
        <w:t xml:space="preserve">haracterization of </w:t>
      </w:r>
      <w:r>
        <w:t>C</w:t>
      </w:r>
      <w:r w:rsidRPr="00192741">
        <w:t>hestnut (</w:t>
      </w:r>
      <w:r w:rsidRPr="00F75B85">
        <w:t>Castanea sativa Mill.</w:t>
      </w:r>
      <w:r w:rsidRPr="00192741">
        <w:t xml:space="preserve">) </w:t>
      </w:r>
      <w:r>
        <w:t>S</w:t>
      </w:r>
      <w:r w:rsidRPr="00192741">
        <w:t xml:space="preserve">hell </w:t>
      </w:r>
      <w:r>
        <w:t>P</w:t>
      </w:r>
      <w:r w:rsidRPr="00192741">
        <w:t xml:space="preserve">olyphenol </w:t>
      </w:r>
      <w:r>
        <w:t>E</w:t>
      </w:r>
      <w:r w:rsidRPr="00192741">
        <w:t xml:space="preserve">xtract: </w:t>
      </w:r>
      <w:r>
        <w:t>A</w:t>
      </w:r>
      <w:r w:rsidRPr="00192741">
        <w:t xml:space="preserve"> </w:t>
      </w:r>
      <w:r>
        <w:t>V</w:t>
      </w:r>
      <w:r w:rsidRPr="00192741">
        <w:t xml:space="preserve">alued </w:t>
      </w:r>
      <w:r>
        <w:t>B</w:t>
      </w:r>
      <w:r w:rsidRPr="00192741">
        <w:t xml:space="preserve">ioresource for </w:t>
      </w:r>
      <w:r>
        <w:t>P</w:t>
      </w:r>
      <w:r w:rsidRPr="00192741">
        <w:t xml:space="preserve">rostate </w:t>
      </w:r>
      <w:r>
        <w:t>C</w:t>
      </w:r>
      <w:r w:rsidRPr="00192741">
        <w:t xml:space="preserve">ancer </w:t>
      </w:r>
      <w:r>
        <w:t>C</w:t>
      </w:r>
      <w:r w:rsidRPr="00192741">
        <w:t xml:space="preserve">ell </w:t>
      </w:r>
      <w:r>
        <w:t>G</w:t>
      </w:r>
      <w:r w:rsidRPr="00192741">
        <w:t xml:space="preserve">rowth </w:t>
      </w:r>
      <w:r>
        <w:t>I</w:t>
      </w:r>
      <w:r w:rsidRPr="00192741">
        <w:t>nhibition</w:t>
      </w:r>
    </w:p>
    <w:p w14:paraId="2B253377" w14:textId="77777777" w:rsidR="00032FDE" w:rsidRPr="00192741" w:rsidRDefault="00032FDE" w:rsidP="00032FDE">
      <w:pPr>
        <w:pStyle w:val="MDPI13authornames"/>
        <w:rPr>
          <w:snapToGrid w:val="0"/>
          <w:vertAlign w:val="superscript"/>
          <w:lang w:val="it-IT"/>
        </w:rPr>
      </w:pPr>
      <w:r w:rsidRPr="00254549">
        <w:rPr>
          <w:snapToGrid w:val="0"/>
          <w:lang w:val="it-IT"/>
        </w:rPr>
        <w:t xml:space="preserve">Nunzio Antonio Cacciola </w:t>
      </w:r>
      <w:r w:rsidRPr="00254549">
        <w:rPr>
          <w:snapToGrid w:val="0"/>
          <w:vertAlign w:val="superscript"/>
          <w:lang w:val="it-IT"/>
        </w:rPr>
        <w:t>1,†</w:t>
      </w:r>
      <w:r w:rsidRPr="00254549">
        <w:rPr>
          <w:snapToGrid w:val="0"/>
          <w:lang w:val="it-IT"/>
        </w:rPr>
        <w:t xml:space="preserve">, Andrea Cerrato </w:t>
      </w:r>
      <w:r w:rsidRPr="00254549">
        <w:rPr>
          <w:snapToGrid w:val="0"/>
          <w:vertAlign w:val="superscript"/>
          <w:lang w:val="it-IT"/>
        </w:rPr>
        <w:t>2,†</w:t>
      </w:r>
      <w:r w:rsidRPr="00254549">
        <w:rPr>
          <w:snapToGrid w:val="0"/>
          <w:lang w:val="it-IT"/>
        </w:rPr>
        <w:t xml:space="preserve">, Anna Laura Capriotti </w:t>
      </w:r>
      <w:r w:rsidRPr="00254549">
        <w:rPr>
          <w:snapToGrid w:val="0"/>
          <w:vertAlign w:val="superscript"/>
          <w:lang w:val="it-IT"/>
        </w:rPr>
        <w:t>2,</w:t>
      </w:r>
      <w:r w:rsidRPr="00254549">
        <w:rPr>
          <w:snapToGrid w:val="0"/>
          <w:lang w:val="it-IT"/>
        </w:rPr>
        <w:t xml:space="preserve">*, Chiara Cavaliere </w:t>
      </w:r>
      <w:r w:rsidRPr="00254549">
        <w:rPr>
          <w:snapToGrid w:val="0"/>
          <w:vertAlign w:val="superscript"/>
          <w:lang w:val="it-IT"/>
        </w:rPr>
        <w:t>2</w:t>
      </w:r>
      <w:r w:rsidRPr="00254549">
        <w:rPr>
          <w:snapToGrid w:val="0"/>
          <w:lang w:val="it-IT"/>
        </w:rPr>
        <w:t xml:space="preserve">, Maria D’Apolito </w:t>
      </w:r>
      <w:r w:rsidRPr="00254549">
        <w:rPr>
          <w:snapToGrid w:val="0"/>
          <w:vertAlign w:val="superscript"/>
          <w:lang w:val="it-IT"/>
        </w:rPr>
        <w:t>1</w:t>
      </w:r>
      <w:r w:rsidRPr="00254549">
        <w:rPr>
          <w:snapToGrid w:val="0"/>
          <w:lang w:val="it-IT"/>
        </w:rPr>
        <w:t xml:space="preserve">, Carmela Maria Montone </w:t>
      </w:r>
      <w:r w:rsidRPr="00254549">
        <w:rPr>
          <w:snapToGrid w:val="0"/>
          <w:vertAlign w:val="superscript"/>
          <w:lang w:val="it-IT"/>
        </w:rPr>
        <w:t>2</w:t>
      </w:r>
      <w:r w:rsidRPr="00254549">
        <w:rPr>
          <w:snapToGrid w:val="0"/>
          <w:lang w:val="it-IT"/>
        </w:rPr>
        <w:t xml:space="preserve">, Susy Piovesana </w:t>
      </w:r>
      <w:r w:rsidRPr="00254549">
        <w:rPr>
          <w:snapToGrid w:val="0"/>
          <w:vertAlign w:val="superscript"/>
          <w:lang w:val="it-IT"/>
        </w:rPr>
        <w:t>2</w:t>
      </w:r>
      <w:r w:rsidRPr="00254549">
        <w:rPr>
          <w:snapToGrid w:val="0"/>
          <w:lang w:val="it-IT"/>
        </w:rPr>
        <w:t xml:space="preserve">, Giuseppe Squillaci </w:t>
      </w:r>
      <w:r w:rsidRPr="00254549">
        <w:rPr>
          <w:snapToGrid w:val="0"/>
          <w:vertAlign w:val="superscript"/>
          <w:lang w:val="it-IT"/>
        </w:rPr>
        <w:t>1</w:t>
      </w:r>
      <w:r w:rsidRPr="00254549">
        <w:rPr>
          <w:snapToGrid w:val="0"/>
          <w:lang w:val="it-IT"/>
        </w:rPr>
        <w:t xml:space="preserve">, </w:t>
      </w:r>
      <w:r w:rsidRPr="00254549">
        <w:rPr>
          <w:snapToGrid w:val="0"/>
          <w:lang w:val="it-IT"/>
        </w:rPr>
        <w:br/>
        <w:t xml:space="preserve">Gianfranco Peluso </w:t>
      </w:r>
      <w:r w:rsidRPr="00254549">
        <w:rPr>
          <w:snapToGrid w:val="0"/>
          <w:vertAlign w:val="superscript"/>
          <w:lang w:val="it-IT"/>
        </w:rPr>
        <w:t>1,†</w:t>
      </w:r>
      <w:r w:rsidRPr="00254549">
        <w:rPr>
          <w:snapToGrid w:val="0"/>
          <w:lang w:val="it-IT"/>
        </w:rPr>
        <w:t xml:space="preserve"> and Aldo Laganà </w:t>
      </w:r>
      <w:r w:rsidRPr="00254549">
        <w:rPr>
          <w:snapToGrid w:val="0"/>
          <w:vertAlign w:val="superscript"/>
          <w:lang w:val="it-IT"/>
        </w:rPr>
        <w:t>2,3,†</w:t>
      </w:r>
    </w:p>
    <w:p w14:paraId="4D341BB2" w14:textId="77777777" w:rsidR="00032FDE" w:rsidRPr="00192741" w:rsidRDefault="00032FDE" w:rsidP="00032FDE">
      <w:pPr>
        <w:pStyle w:val="MDPI16affiliation"/>
        <w:rPr>
          <w:snapToGrid w:val="0"/>
        </w:rPr>
      </w:pPr>
      <w:r w:rsidRPr="004433B0">
        <w:rPr>
          <w:snapToGrid w:val="0"/>
          <w:vertAlign w:val="superscript"/>
        </w:rPr>
        <w:t>1</w:t>
      </w:r>
      <w:r w:rsidRPr="004433B0">
        <w:rPr>
          <w:snapToGrid w:val="0"/>
        </w:rPr>
        <w:tab/>
      </w:r>
      <w:r w:rsidRPr="00192741">
        <w:rPr>
          <w:snapToGrid w:val="0"/>
        </w:rPr>
        <w:t>Research Institute on Terrestrial Ecosystems (IRET)-UOS Naples, National Research Council of Italy, (CNR), via P. Castellino 111, 80131 Naples, Italy</w:t>
      </w:r>
      <w:r>
        <w:rPr>
          <w:snapToGrid w:val="0"/>
        </w:rPr>
        <w:t xml:space="preserve">; </w:t>
      </w:r>
      <w:r w:rsidRPr="00C13834">
        <w:rPr>
          <w:snapToGrid w:val="0"/>
          <w:lang w:val="en-GB"/>
        </w:rPr>
        <w:t>nunzio.cacciola@iret.cnr.it (N.A.C.), maria.dapolito@cnr.it (M.D.), giuseppe.squillaci@iret.cnr.it (G.S.), gianfranco.peluso@cnr.it (G.P.</w:t>
      </w:r>
      <w:proofErr w:type="gramStart"/>
      <w:r w:rsidRPr="00C13834">
        <w:rPr>
          <w:snapToGrid w:val="0"/>
          <w:lang w:val="en-GB"/>
        </w:rPr>
        <w:t>);</w:t>
      </w:r>
      <w:proofErr w:type="gramEnd"/>
    </w:p>
    <w:p w14:paraId="63174FBB" w14:textId="77777777" w:rsidR="00032FDE" w:rsidRPr="00192741" w:rsidRDefault="00032FDE" w:rsidP="00032FDE">
      <w:pPr>
        <w:pStyle w:val="MDPI16affiliation"/>
        <w:rPr>
          <w:snapToGrid w:val="0"/>
          <w:lang w:val="it-IT"/>
        </w:rPr>
      </w:pPr>
      <w:r w:rsidRPr="004433B0">
        <w:rPr>
          <w:iCs/>
          <w:snapToGrid w:val="0"/>
          <w:vertAlign w:val="superscript"/>
          <w:lang w:val="it-IT"/>
        </w:rPr>
        <w:t>2</w:t>
      </w:r>
      <w:r w:rsidRPr="004433B0">
        <w:rPr>
          <w:iCs/>
          <w:snapToGrid w:val="0"/>
          <w:lang w:val="it-IT"/>
        </w:rPr>
        <w:tab/>
      </w:r>
      <w:r w:rsidRPr="00192741">
        <w:rPr>
          <w:snapToGrid w:val="0"/>
          <w:lang w:val="it-IT"/>
        </w:rPr>
        <w:t>Department of Chemistry, Università di Roma “La Sapienza”, Piazzale Aldo Moro 5, 00185 Rome, Italy; andrea.cerrato@uniroma1.it (A.C.)</w:t>
      </w:r>
      <w:r>
        <w:rPr>
          <w:snapToGrid w:val="0"/>
          <w:lang w:val="it-IT"/>
        </w:rPr>
        <w:t>,</w:t>
      </w:r>
      <w:r w:rsidRPr="00192741">
        <w:rPr>
          <w:snapToGrid w:val="0"/>
          <w:lang w:val="it-IT"/>
        </w:rPr>
        <w:t xml:space="preserve"> chiara.cavaliere@uniroma1.it (C.C.)</w:t>
      </w:r>
      <w:r>
        <w:rPr>
          <w:snapToGrid w:val="0"/>
          <w:lang w:val="it-IT"/>
        </w:rPr>
        <w:t>,</w:t>
      </w:r>
      <w:r w:rsidRPr="00192741">
        <w:rPr>
          <w:snapToGrid w:val="0"/>
          <w:lang w:val="it-IT"/>
        </w:rPr>
        <w:t xml:space="preserve"> carmelamaria.montone@uniroma1.it (C.M.M)</w:t>
      </w:r>
      <w:r>
        <w:rPr>
          <w:snapToGrid w:val="0"/>
          <w:lang w:val="it-IT"/>
        </w:rPr>
        <w:t>,</w:t>
      </w:r>
      <w:r w:rsidRPr="00192741">
        <w:rPr>
          <w:snapToGrid w:val="0"/>
          <w:lang w:val="it-IT"/>
        </w:rPr>
        <w:t xml:space="preserve"> susy.piovesana@uniroma1.it (S.P.)</w:t>
      </w:r>
      <w:r>
        <w:rPr>
          <w:snapToGrid w:val="0"/>
          <w:lang w:val="it-IT"/>
        </w:rPr>
        <w:t xml:space="preserve">, </w:t>
      </w:r>
      <w:r w:rsidRPr="00192741">
        <w:rPr>
          <w:snapToGrid w:val="0"/>
          <w:lang w:val="it-IT"/>
        </w:rPr>
        <w:t>aldo.lagana@uniroma1.it (A.L.)</w:t>
      </w:r>
      <w:r>
        <w:rPr>
          <w:snapToGrid w:val="0"/>
          <w:lang w:val="it-IT"/>
        </w:rPr>
        <w:t>;</w:t>
      </w:r>
    </w:p>
    <w:p w14:paraId="105AB17F" w14:textId="77777777" w:rsidR="00032FDE" w:rsidRPr="00192741" w:rsidRDefault="00032FDE" w:rsidP="00032FDE">
      <w:pPr>
        <w:pStyle w:val="MDPI16affiliation"/>
        <w:rPr>
          <w:snapToGrid w:val="0"/>
        </w:rPr>
      </w:pPr>
      <w:r w:rsidRPr="004433B0">
        <w:rPr>
          <w:snapToGrid w:val="0"/>
          <w:vertAlign w:val="superscript"/>
        </w:rPr>
        <w:t>3</w:t>
      </w:r>
      <w:r w:rsidRPr="004433B0">
        <w:rPr>
          <w:snapToGrid w:val="0"/>
        </w:rPr>
        <w:tab/>
      </w:r>
      <w:r w:rsidRPr="00192741">
        <w:rPr>
          <w:snapToGrid w:val="0"/>
        </w:rPr>
        <w:t>CNR NANOTEC, Campus Ecotekne, University of Salento, Via Monteroni, 73100 Lecce, Italy</w:t>
      </w:r>
    </w:p>
    <w:p w14:paraId="02581295" w14:textId="77777777" w:rsidR="00032FDE" w:rsidRPr="00192741" w:rsidRDefault="00032FDE" w:rsidP="00032FDE">
      <w:pPr>
        <w:pStyle w:val="MDPI16affiliation"/>
        <w:rPr>
          <w:snapToGrid w:val="0"/>
        </w:rPr>
      </w:pPr>
      <w:r w:rsidRPr="004433B0">
        <w:rPr>
          <w:b/>
          <w:snapToGrid w:val="0"/>
        </w:rPr>
        <w:t>*</w:t>
      </w:r>
      <w:r w:rsidRPr="004433B0">
        <w:rPr>
          <w:b/>
          <w:snapToGrid w:val="0"/>
        </w:rPr>
        <w:tab/>
      </w:r>
      <w:r w:rsidRPr="00192741">
        <w:rPr>
          <w:snapToGrid w:val="0"/>
        </w:rPr>
        <w:t xml:space="preserve">Correspondence: </w:t>
      </w:r>
      <w:r w:rsidRPr="00F75B85">
        <w:rPr>
          <w:snapToGrid w:val="0"/>
        </w:rPr>
        <w:t>annalaura.capriotti@uniroma1.it</w:t>
      </w:r>
      <w:r w:rsidRPr="00F75B85">
        <w:rPr>
          <w:snapToGrid w:val="0"/>
          <w:sz w:val="16"/>
          <w:szCs w:val="16"/>
        </w:rPr>
        <w:t xml:space="preserve"> </w:t>
      </w:r>
    </w:p>
    <w:p w14:paraId="07CD8F83" w14:textId="77777777" w:rsidR="00032FDE" w:rsidRPr="00192741" w:rsidRDefault="00032FDE" w:rsidP="00032FDE">
      <w:pPr>
        <w:pStyle w:val="MDPI16affiliation"/>
        <w:rPr>
          <w:snapToGrid w:val="0"/>
        </w:rPr>
      </w:pPr>
      <w:r w:rsidRPr="004433B0">
        <w:rPr>
          <w:snapToGrid w:val="0"/>
          <w:vertAlign w:val="superscript"/>
        </w:rPr>
        <w:t>†</w:t>
      </w:r>
      <w:r w:rsidRPr="004433B0">
        <w:rPr>
          <w:snapToGrid w:val="0"/>
        </w:rPr>
        <w:tab/>
      </w:r>
      <w:r w:rsidRPr="001D4713">
        <w:rPr>
          <w:color w:val="000000" w:themeColor="text1"/>
        </w:rPr>
        <w:t xml:space="preserve">These authors contributed equally to this </w:t>
      </w:r>
      <w:r w:rsidRPr="00B41244">
        <w:rPr>
          <w:color w:val="000000" w:themeColor="text1"/>
        </w:rPr>
        <w:t>paper</w:t>
      </w:r>
      <w:r w:rsidRPr="00192741">
        <w:rPr>
          <w:snapToGrid w:val="0"/>
        </w:rPr>
        <w:t xml:space="preserve">. </w:t>
      </w:r>
    </w:p>
    <w:p w14:paraId="74073C9A" w14:textId="77777777" w:rsidR="00032FDE" w:rsidRDefault="00032FDE" w:rsidP="00032FDE">
      <w:pPr>
        <w:spacing w:after="0" w:line="480" w:lineRule="auto"/>
        <w:rPr>
          <w:rFonts w:ascii="Times New Roman" w:hAnsi="Times New Roman" w:cs="Times New Roman"/>
          <w:b/>
          <w:sz w:val="28"/>
          <w:szCs w:val="24"/>
        </w:rPr>
      </w:pPr>
    </w:p>
    <w:p w14:paraId="54ACD0A1" w14:textId="77777777" w:rsidR="00032FDE" w:rsidRDefault="00032FDE" w:rsidP="00032FDE">
      <w:pPr>
        <w:spacing w:after="0" w:line="480" w:lineRule="auto"/>
        <w:rPr>
          <w:rFonts w:ascii="Times New Roman" w:hAnsi="Times New Roman" w:cs="Times New Roman"/>
          <w:b/>
          <w:sz w:val="28"/>
          <w:szCs w:val="24"/>
        </w:rPr>
      </w:pPr>
    </w:p>
    <w:p w14:paraId="04CC8264" w14:textId="77777777" w:rsidR="00032FDE" w:rsidRDefault="00032FDE" w:rsidP="00032FDE">
      <w:pPr>
        <w:spacing w:after="0" w:line="480" w:lineRule="auto"/>
        <w:rPr>
          <w:rFonts w:ascii="Times New Roman" w:hAnsi="Times New Roman" w:cs="Times New Roman"/>
          <w:b/>
          <w:sz w:val="28"/>
          <w:szCs w:val="24"/>
        </w:rPr>
      </w:pPr>
    </w:p>
    <w:p w14:paraId="34B2D7E6" w14:textId="77777777" w:rsidR="00032FDE" w:rsidRDefault="00032FDE" w:rsidP="00032FDE">
      <w:pPr>
        <w:spacing w:after="0" w:line="480" w:lineRule="auto"/>
        <w:rPr>
          <w:rFonts w:ascii="Times New Roman" w:hAnsi="Times New Roman" w:cs="Times New Roman"/>
          <w:b/>
          <w:sz w:val="28"/>
          <w:szCs w:val="24"/>
        </w:rPr>
      </w:pPr>
    </w:p>
    <w:p w14:paraId="4C11546B" w14:textId="77777777" w:rsidR="00032FDE" w:rsidRDefault="00032FDE" w:rsidP="00032FDE">
      <w:pPr>
        <w:spacing w:after="0" w:line="480" w:lineRule="auto"/>
        <w:rPr>
          <w:rFonts w:ascii="Times New Roman" w:hAnsi="Times New Roman" w:cs="Times New Roman"/>
          <w:b/>
          <w:sz w:val="28"/>
          <w:szCs w:val="24"/>
        </w:rPr>
      </w:pPr>
    </w:p>
    <w:p w14:paraId="4FE059BF" w14:textId="77777777" w:rsidR="00032FDE" w:rsidRDefault="00032FDE" w:rsidP="00032FDE">
      <w:pPr>
        <w:spacing w:after="0" w:line="480" w:lineRule="auto"/>
        <w:rPr>
          <w:rFonts w:ascii="Times New Roman" w:hAnsi="Times New Roman" w:cs="Times New Roman"/>
          <w:b/>
          <w:sz w:val="28"/>
          <w:szCs w:val="24"/>
        </w:rPr>
      </w:pPr>
    </w:p>
    <w:p w14:paraId="6CDFDC29" w14:textId="77777777" w:rsidR="00032FDE" w:rsidRDefault="00032FDE" w:rsidP="00032FDE">
      <w:pPr>
        <w:spacing w:after="0" w:line="480" w:lineRule="auto"/>
        <w:rPr>
          <w:rFonts w:ascii="Times New Roman" w:hAnsi="Times New Roman" w:cs="Times New Roman"/>
          <w:b/>
          <w:sz w:val="28"/>
          <w:szCs w:val="24"/>
        </w:rPr>
      </w:pPr>
    </w:p>
    <w:p w14:paraId="630E00B0" w14:textId="77777777" w:rsidR="00032FDE" w:rsidRDefault="00032FDE" w:rsidP="00032FDE">
      <w:pPr>
        <w:spacing w:after="0" w:line="480" w:lineRule="auto"/>
        <w:rPr>
          <w:rFonts w:ascii="Times New Roman" w:hAnsi="Times New Roman" w:cs="Times New Roman"/>
          <w:b/>
          <w:sz w:val="28"/>
          <w:szCs w:val="24"/>
        </w:rPr>
      </w:pPr>
    </w:p>
    <w:p w14:paraId="2B3D3A14" w14:textId="77777777" w:rsidR="00032FDE" w:rsidRDefault="00032FDE" w:rsidP="00032FDE">
      <w:pPr>
        <w:spacing w:after="0" w:line="480" w:lineRule="auto"/>
        <w:rPr>
          <w:rFonts w:ascii="Times New Roman" w:hAnsi="Times New Roman" w:cs="Times New Roman"/>
          <w:b/>
          <w:sz w:val="28"/>
          <w:szCs w:val="24"/>
        </w:rPr>
      </w:pPr>
    </w:p>
    <w:p w14:paraId="66E9D872" w14:textId="77777777" w:rsidR="00032FDE" w:rsidRDefault="00032FDE" w:rsidP="00032FDE">
      <w:pPr>
        <w:spacing w:after="0" w:line="480" w:lineRule="auto"/>
        <w:rPr>
          <w:rFonts w:ascii="Times New Roman" w:hAnsi="Times New Roman" w:cs="Times New Roman"/>
          <w:b/>
          <w:sz w:val="28"/>
          <w:szCs w:val="24"/>
        </w:rPr>
      </w:pPr>
    </w:p>
    <w:p w14:paraId="34217CAF" w14:textId="77777777" w:rsidR="00032FDE" w:rsidRDefault="00032FDE" w:rsidP="00032FDE">
      <w:pPr>
        <w:spacing w:after="0" w:line="480" w:lineRule="auto"/>
        <w:rPr>
          <w:rFonts w:ascii="Times New Roman" w:hAnsi="Times New Roman" w:cs="Times New Roman"/>
          <w:b/>
          <w:sz w:val="28"/>
          <w:szCs w:val="24"/>
        </w:rPr>
      </w:pPr>
    </w:p>
    <w:p w14:paraId="6E72E8A3" w14:textId="0470BD8D" w:rsidR="00032FDE" w:rsidRDefault="00032FDE" w:rsidP="00032FDE">
      <w:pPr>
        <w:pStyle w:val="MDPI52figure"/>
      </w:pPr>
      <w:r>
        <w:rPr>
          <w:noProof/>
        </w:rPr>
        <w:lastRenderedPageBreak/>
        <w:drawing>
          <wp:inline distT="0" distB="0" distL="0" distR="0" wp14:anchorId="717C1A6C" wp14:editId="410E9CA4">
            <wp:extent cx="4724400" cy="5295900"/>
            <wp:effectExtent l="0" t="0" r="0" b="0"/>
            <wp:docPr id="44" name="Immagin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529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53A1DC" w14:textId="5E7AC982" w:rsidR="00032FDE" w:rsidRPr="00BB61AF" w:rsidRDefault="00032FDE" w:rsidP="00032FDE">
      <w:pPr>
        <w:pStyle w:val="MDPI51figurecaption"/>
        <w:rPr>
          <w:b/>
          <w:bCs/>
        </w:rPr>
      </w:pPr>
      <w:r w:rsidRPr="00032FDE">
        <w:rPr>
          <w:b/>
          <w:bCs/>
        </w:rPr>
        <w:t xml:space="preserve">Figure 1. </w:t>
      </w:r>
      <w:r w:rsidRPr="00BB61AF">
        <w:t>Composition of fraction 3 (F3) of the chestnut shell extract in terms of number of tentative identifications (</w:t>
      </w:r>
      <w:r w:rsidRPr="00032FDE">
        <w:rPr>
          <w:b/>
          <w:bCs/>
        </w:rPr>
        <w:t>A</w:t>
      </w:r>
      <w:r w:rsidRPr="00BB61AF">
        <w:t>) and peak areas (</w:t>
      </w:r>
      <w:r w:rsidRPr="00032FDE">
        <w:rPr>
          <w:b/>
          <w:bCs/>
        </w:rPr>
        <w:t>B</w:t>
      </w:r>
      <w:r w:rsidRPr="00BB61AF">
        <w:t>) for the four main classes of phenolic compounds</w:t>
      </w:r>
      <w:r>
        <w:t>.</w:t>
      </w:r>
    </w:p>
    <w:p w14:paraId="28755D73" w14:textId="77777777" w:rsidR="00032FDE" w:rsidRDefault="00032FDE" w:rsidP="00032FDE">
      <w:pPr>
        <w:spacing w:after="0" w:line="480" w:lineRule="auto"/>
      </w:pPr>
    </w:p>
    <w:p w14:paraId="398EC72A" w14:textId="77777777" w:rsidR="00032FDE" w:rsidRDefault="00032FDE" w:rsidP="00032FDE">
      <w:pPr>
        <w:spacing w:after="0" w:line="480" w:lineRule="auto"/>
      </w:pPr>
    </w:p>
    <w:p w14:paraId="357B6D8D" w14:textId="77777777" w:rsidR="00032FDE" w:rsidRDefault="00032FDE" w:rsidP="00032FDE"/>
    <w:p w14:paraId="5B268526" w14:textId="77777777" w:rsidR="00032FDE" w:rsidRDefault="00032FDE" w:rsidP="00032FDE"/>
    <w:p w14:paraId="6FCEF538" w14:textId="77777777" w:rsidR="00032FDE" w:rsidRDefault="00032FDE" w:rsidP="00032FDE"/>
    <w:p w14:paraId="71A24D31" w14:textId="77777777" w:rsidR="00032FDE" w:rsidRDefault="00032FDE" w:rsidP="00032FDE"/>
    <w:p w14:paraId="7363F525" w14:textId="27915918" w:rsidR="00032FDE" w:rsidRDefault="00032FDE" w:rsidP="00032FDE">
      <w:pPr>
        <w:pStyle w:val="MDPI52figure"/>
      </w:pPr>
      <w:r>
        <w:rPr>
          <w:noProof/>
        </w:rPr>
        <w:lastRenderedPageBreak/>
        <w:drawing>
          <wp:inline distT="0" distB="0" distL="0" distR="0" wp14:anchorId="689C1FB5" wp14:editId="487964AE">
            <wp:extent cx="4505325" cy="4991100"/>
            <wp:effectExtent l="0" t="0" r="0" b="0"/>
            <wp:docPr id="45" name="Immagin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499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C07929" w14:textId="0784334D" w:rsidR="00032FDE" w:rsidRPr="00BB61AF" w:rsidRDefault="00032FDE" w:rsidP="00032FDE">
      <w:pPr>
        <w:pStyle w:val="MDPI51figurecaption"/>
        <w:rPr>
          <w:b/>
          <w:bCs/>
        </w:rPr>
      </w:pPr>
      <w:r w:rsidRPr="00032FDE">
        <w:rPr>
          <w:b/>
          <w:bCs/>
        </w:rPr>
        <w:t xml:space="preserve">Figure 2. </w:t>
      </w:r>
      <w:r w:rsidRPr="00BB61AF">
        <w:t xml:space="preserve">Composition of fraction </w:t>
      </w:r>
      <w:r>
        <w:t>4</w:t>
      </w:r>
      <w:r w:rsidRPr="00BB61AF">
        <w:t xml:space="preserve"> (F</w:t>
      </w:r>
      <w:r>
        <w:t>4</w:t>
      </w:r>
      <w:r w:rsidRPr="00BB61AF">
        <w:t>) of the chestnut shell extract in terms of number of tentative identifications (</w:t>
      </w:r>
      <w:r w:rsidRPr="00032FDE">
        <w:rPr>
          <w:b/>
          <w:bCs/>
        </w:rPr>
        <w:t>A</w:t>
      </w:r>
      <w:r w:rsidRPr="00BB61AF">
        <w:t>) and peak areas (</w:t>
      </w:r>
      <w:r w:rsidRPr="00032FDE">
        <w:rPr>
          <w:b/>
          <w:bCs/>
        </w:rPr>
        <w:t>B</w:t>
      </w:r>
      <w:r w:rsidRPr="00BB61AF">
        <w:t>) for the four main classes of phenolic compounds</w:t>
      </w:r>
      <w:r>
        <w:t>.</w:t>
      </w:r>
    </w:p>
    <w:p w14:paraId="5EF50950" w14:textId="77777777" w:rsidR="00032FDE" w:rsidRDefault="00032FDE" w:rsidP="00032FDE"/>
    <w:p w14:paraId="79731FB8" w14:textId="77777777" w:rsidR="00032FDE" w:rsidRDefault="00032FDE" w:rsidP="00032FDE"/>
    <w:p w14:paraId="5094D7FE" w14:textId="77777777" w:rsidR="00032FDE" w:rsidRDefault="00032FDE" w:rsidP="00032FDE"/>
    <w:p w14:paraId="792F18BE" w14:textId="77777777" w:rsidR="00032FDE" w:rsidRDefault="00032FDE" w:rsidP="00032FDE"/>
    <w:p w14:paraId="1ED51953" w14:textId="77777777" w:rsidR="00032FDE" w:rsidRDefault="00032FDE" w:rsidP="00032FDE"/>
    <w:p w14:paraId="703958FF" w14:textId="77777777" w:rsidR="00032FDE" w:rsidRDefault="00032FDE" w:rsidP="00032FDE"/>
    <w:p w14:paraId="6318124A" w14:textId="77777777" w:rsidR="00032FDE" w:rsidRDefault="00032FDE" w:rsidP="00032FDE"/>
    <w:p w14:paraId="2D829134" w14:textId="77777777" w:rsidR="00032FDE" w:rsidRDefault="00032FDE" w:rsidP="00032FDE"/>
    <w:p w14:paraId="4D6C9454" w14:textId="75B0BDC7" w:rsidR="00032FDE" w:rsidRDefault="00032FDE" w:rsidP="00032FDE">
      <w:pPr>
        <w:pStyle w:val="MDPI52figure"/>
      </w:pPr>
      <w:r>
        <w:rPr>
          <w:noProof/>
        </w:rPr>
        <w:lastRenderedPageBreak/>
        <w:drawing>
          <wp:inline distT="0" distB="0" distL="0" distR="0" wp14:anchorId="74183FB3" wp14:editId="6150A3B8">
            <wp:extent cx="4572000" cy="4991100"/>
            <wp:effectExtent l="0" t="0" r="0" b="0"/>
            <wp:docPr id="46" name="Immagin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499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83260B" w14:textId="655EE7AB" w:rsidR="00032FDE" w:rsidRPr="00BB61AF" w:rsidRDefault="00032FDE" w:rsidP="00032FDE">
      <w:pPr>
        <w:pStyle w:val="MDPI51figurecaption"/>
        <w:rPr>
          <w:b/>
          <w:bCs/>
        </w:rPr>
      </w:pPr>
      <w:r w:rsidRPr="00032FDE">
        <w:rPr>
          <w:b/>
          <w:bCs/>
        </w:rPr>
        <w:t xml:space="preserve">Figure 3. </w:t>
      </w:r>
      <w:r w:rsidRPr="00BB61AF">
        <w:t xml:space="preserve">Composition of fraction </w:t>
      </w:r>
      <w:r>
        <w:t>5</w:t>
      </w:r>
      <w:r w:rsidRPr="00BB61AF">
        <w:t xml:space="preserve"> (F</w:t>
      </w:r>
      <w:r>
        <w:t>5</w:t>
      </w:r>
      <w:r w:rsidRPr="00BB61AF">
        <w:t>) of the chestnut shell extract in terms of number of tentative identifications (</w:t>
      </w:r>
      <w:r w:rsidRPr="00032FDE">
        <w:rPr>
          <w:b/>
          <w:bCs/>
        </w:rPr>
        <w:t>A</w:t>
      </w:r>
      <w:r w:rsidRPr="00BB61AF">
        <w:t>) and peak areas (</w:t>
      </w:r>
      <w:r w:rsidRPr="00032FDE">
        <w:rPr>
          <w:b/>
          <w:bCs/>
        </w:rPr>
        <w:t>B</w:t>
      </w:r>
      <w:r w:rsidRPr="00BB61AF">
        <w:t>) for the four main classes of phenolic compounds</w:t>
      </w:r>
      <w:r>
        <w:t>.</w:t>
      </w:r>
    </w:p>
    <w:p w14:paraId="1757516F" w14:textId="77777777" w:rsidR="00032FDE" w:rsidRDefault="00032FDE" w:rsidP="00032FDE"/>
    <w:p w14:paraId="0BDBD636" w14:textId="77777777" w:rsidR="00032FDE" w:rsidRDefault="00032FDE" w:rsidP="00032FDE"/>
    <w:p w14:paraId="0BB582A7" w14:textId="77777777" w:rsidR="00032FDE" w:rsidRDefault="00032FDE" w:rsidP="00032FDE"/>
    <w:p w14:paraId="4D61FA83" w14:textId="77777777" w:rsidR="00032FDE" w:rsidRDefault="00032FDE" w:rsidP="00032FDE"/>
    <w:p w14:paraId="42D4561F" w14:textId="77777777" w:rsidR="00032FDE" w:rsidRDefault="00032FDE" w:rsidP="00032FDE"/>
    <w:p w14:paraId="66F8B7A1" w14:textId="77777777" w:rsidR="00032FDE" w:rsidRDefault="00032FDE" w:rsidP="00032FDE">
      <w:pPr>
        <w:rPr>
          <w:noProof/>
          <w:lang w:eastAsia="it-IT"/>
        </w:rPr>
      </w:pPr>
    </w:p>
    <w:p w14:paraId="790F0644" w14:textId="04EA7FA3" w:rsidR="00032FDE" w:rsidRDefault="00032FDE" w:rsidP="00032FDE">
      <w:pPr>
        <w:pStyle w:val="MDPI52figure"/>
      </w:pPr>
      <w:r>
        <w:rPr>
          <w:noProof/>
        </w:rPr>
        <w:lastRenderedPageBreak/>
        <w:drawing>
          <wp:inline distT="0" distB="0" distL="0" distR="0" wp14:anchorId="6DA5C70C" wp14:editId="0BD20535">
            <wp:extent cx="4572000" cy="4953000"/>
            <wp:effectExtent l="0" t="0" r="0" b="0"/>
            <wp:docPr id="47" name="Immagin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495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705E4E" w14:textId="6282EC96" w:rsidR="00032FDE" w:rsidRPr="00BB61AF" w:rsidRDefault="00032FDE" w:rsidP="00032FDE">
      <w:pPr>
        <w:pStyle w:val="MDPI51figurecaption"/>
        <w:rPr>
          <w:b/>
          <w:bCs/>
        </w:rPr>
      </w:pPr>
      <w:r w:rsidRPr="00032FDE">
        <w:rPr>
          <w:b/>
          <w:bCs/>
        </w:rPr>
        <w:t xml:space="preserve">Figure 4. </w:t>
      </w:r>
      <w:r w:rsidRPr="00BB61AF">
        <w:t xml:space="preserve">Composition of fraction </w:t>
      </w:r>
      <w:r>
        <w:t>6</w:t>
      </w:r>
      <w:r w:rsidRPr="00BB61AF">
        <w:t xml:space="preserve"> (F</w:t>
      </w:r>
      <w:r>
        <w:t>6</w:t>
      </w:r>
      <w:r w:rsidRPr="00BB61AF">
        <w:t>) of the chestnut shell extract in terms of number of tentative identifications (</w:t>
      </w:r>
      <w:r w:rsidRPr="00032FDE">
        <w:rPr>
          <w:b/>
          <w:bCs/>
        </w:rPr>
        <w:t>A</w:t>
      </w:r>
      <w:r w:rsidRPr="00BB61AF">
        <w:t>) and peak areas (</w:t>
      </w:r>
      <w:r w:rsidRPr="00032FDE">
        <w:rPr>
          <w:b/>
          <w:bCs/>
        </w:rPr>
        <w:t>B</w:t>
      </w:r>
      <w:r w:rsidRPr="00BB61AF">
        <w:t>) for the four main classes of phenolic compounds</w:t>
      </w:r>
      <w:r>
        <w:t>.</w:t>
      </w:r>
    </w:p>
    <w:p w14:paraId="01DEBD11" w14:textId="77777777" w:rsidR="00032FDE" w:rsidRDefault="00032FDE" w:rsidP="00032FDE"/>
    <w:p w14:paraId="5907E9C6" w14:textId="77777777" w:rsidR="00032FDE" w:rsidRDefault="00032FDE" w:rsidP="00032FDE"/>
    <w:p w14:paraId="1FA03E68" w14:textId="77777777" w:rsidR="00032FDE" w:rsidRDefault="00032FDE" w:rsidP="00032FDE"/>
    <w:p w14:paraId="6186CE5B" w14:textId="77777777" w:rsidR="00032FDE" w:rsidRDefault="00032FDE" w:rsidP="00032FDE"/>
    <w:p w14:paraId="0BA76A34" w14:textId="77777777" w:rsidR="00032FDE" w:rsidRDefault="00032FDE" w:rsidP="00032FDE"/>
    <w:p w14:paraId="30A20B02" w14:textId="77777777" w:rsidR="00032FDE" w:rsidRDefault="00032FDE" w:rsidP="00032FDE"/>
    <w:p w14:paraId="538D1575" w14:textId="77777777" w:rsidR="00032FDE" w:rsidRDefault="00032FDE" w:rsidP="00032FDE"/>
    <w:p w14:paraId="667CF927" w14:textId="77777777" w:rsidR="00032FDE" w:rsidRDefault="00032FDE" w:rsidP="00032FDE"/>
    <w:p w14:paraId="3AB3E3D7" w14:textId="53BB34E5" w:rsidR="00032FDE" w:rsidRDefault="00032FDE" w:rsidP="00032FDE">
      <w:pPr>
        <w:pStyle w:val="MDPI52figure"/>
      </w:pPr>
      <w:r>
        <w:rPr>
          <w:noProof/>
        </w:rPr>
        <w:lastRenderedPageBreak/>
        <w:drawing>
          <wp:inline distT="0" distB="0" distL="0" distR="0" wp14:anchorId="131E80D2" wp14:editId="1440C578">
            <wp:extent cx="4572000" cy="2733675"/>
            <wp:effectExtent l="0" t="0" r="0" b="0"/>
            <wp:docPr id="48" name="Immagin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870BF" w14:textId="591ED836" w:rsidR="00032FDE" w:rsidRPr="00BB61AF" w:rsidRDefault="00032FDE" w:rsidP="00032FDE">
      <w:pPr>
        <w:pStyle w:val="MDPI51figurecaption"/>
        <w:rPr>
          <w:b/>
          <w:bCs/>
        </w:rPr>
      </w:pPr>
      <w:r w:rsidRPr="00032FDE">
        <w:rPr>
          <w:b/>
          <w:bCs/>
        </w:rPr>
        <w:t xml:space="preserve">Figure 5. </w:t>
      </w:r>
      <w:r w:rsidRPr="00BB61AF">
        <w:t xml:space="preserve">Composition of fraction </w:t>
      </w:r>
      <w:r>
        <w:t>7</w:t>
      </w:r>
      <w:r w:rsidRPr="00BB61AF">
        <w:t xml:space="preserve"> (F</w:t>
      </w:r>
      <w:r>
        <w:t>7</w:t>
      </w:r>
      <w:r w:rsidRPr="00BB61AF">
        <w:t xml:space="preserve">) of the chestnut shell extract in terms of and peak areas </w:t>
      </w:r>
      <w:r>
        <w:t>of</w:t>
      </w:r>
      <w:r w:rsidRPr="00BB61AF">
        <w:t xml:space="preserve"> the four main classes of phenolic compounds</w:t>
      </w:r>
      <w:r>
        <w:t>.</w:t>
      </w:r>
    </w:p>
    <w:p w14:paraId="6A4A075B" w14:textId="77777777" w:rsidR="00032FDE" w:rsidRDefault="00032FDE" w:rsidP="00032FDE"/>
    <w:p w14:paraId="3A71C6D5" w14:textId="6CD5FEBC" w:rsidR="00032FDE" w:rsidRPr="00F85E9F" w:rsidRDefault="00032FDE" w:rsidP="00032FDE">
      <w:pPr>
        <w:spacing w:line="360" w:lineRule="auto"/>
        <w:jc w:val="both"/>
        <w:rPr>
          <w:rFonts w:ascii="Times New Roman" w:hAnsi="Times New Roman" w:cs="Times New Roman"/>
          <w:b/>
          <w:sz w:val="24"/>
          <w:lang w:val="en-GB"/>
        </w:rPr>
      </w:pPr>
      <w:r w:rsidRPr="00F85E9F">
        <w:rPr>
          <w:rFonts w:ascii="Times New Roman" w:hAnsi="Times New Roman" w:cs="Times New Roman"/>
          <w:b/>
          <w:sz w:val="24"/>
          <w:lang w:val="en-GB"/>
        </w:rPr>
        <w:t xml:space="preserve">Trends of the main classes of phenolic compounds in the five analyzed fractions </w:t>
      </w:r>
    </w:p>
    <w:p w14:paraId="39E5BE15" w14:textId="0161A6AB" w:rsidR="00032FDE" w:rsidRPr="0072185D" w:rsidRDefault="00C90DDE" w:rsidP="00032FDE">
      <w:pPr>
        <w:pStyle w:val="MDPI52figure"/>
      </w:pPr>
      <w:r>
        <w:rPr>
          <w:noProof/>
        </w:rPr>
        <w:drawing>
          <wp:inline distT="0" distB="0" distL="0" distR="0" wp14:anchorId="3E82E21B" wp14:editId="6979D15C">
            <wp:extent cx="5151755" cy="252984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1755" cy="2529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2895FE" w14:textId="51B11C6F" w:rsidR="00032FDE" w:rsidRPr="00032FDE" w:rsidRDefault="00032FDE" w:rsidP="00032FDE">
      <w:pPr>
        <w:pStyle w:val="MDPI51figurecaption"/>
        <w:rPr>
          <w:b/>
          <w:bCs/>
        </w:rPr>
      </w:pPr>
      <w:r w:rsidRPr="00032FDE">
        <w:rPr>
          <w:b/>
          <w:bCs/>
        </w:rPr>
        <w:t xml:space="preserve">Figure 6. </w:t>
      </w:r>
      <w:r>
        <w:t>Bar chart summarizing trends in total peak areas of the four main classes of phenolic compounds in the 5 analyzed fractions (F3–F7).</w:t>
      </w:r>
    </w:p>
    <w:p w14:paraId="210EE919" w14:textId="77777777" w:rsidR="00032FDE" w:rsidRDefault="00032FDE" w:rsidP="00032FDE">
      <w:pPr>
        <w:pStyle w:val="MDPI31text"/>
        <w:rPr>
          <w:lang w:val="en-GB"/>
        </w:rPr>
      </w:pPr>
      <w:r w:rsidRPr="00645792">
        <w:rPr>
          <w:lang w:val="en-GB"/>
        </w:rPr>
        <w:t xml:space="preserve">The trends of polymeric polyphenol in the five fractions are similar for ellagitannis and proanthocyanidins by virtue of their extreme hydrophilicity. Their content drops from 65% of the total areas in fraction three to about 1% in fraction 7. </w:t>
      </w:r>
    </w:p>
    <w:p w14:paraId="541123EC" w14:textId="77777777" w:rsidR="00032FDE" w:rsidRDefault="00032FDE" w:rsidP="00032FDE">
      <w:pPr>
        <w:spacing w:line="360" w:lineRule="auto"/>
        <w:rPr>
          <w:rFonts w:ascii="Times New Roman" w:hAnsi="Times New Roman" w:cs="Times New Roman"/>
          <w:sz w:val="24"/>
        </w:rPr>
      </w:pPr>
    </w:p>
    <w:p w14:paraId="309BE549" w14:textId="77777777" w:rsidR="00032FDE" w:rsidRDefault="00032FDE" w:rsidP="00032FDE">
      <w:pPr>
        <w:pStyle w:val="MDPI52figure"/>
      </w:pPr>
      <w:r>
        <w:rPr>
          <w:noProof/>
        </w:rPr>
        <w:lastRenderedPageBreak/>
        <w:drawing>
          <wp:inline distT="0" distB="0" distL="0" distR="0" wp14:anchorId="6F6D2BF9" wp14:editId="4A3CF547">
            <wp:extent cx="5038725" cy="5819775"/>
            <wp:effectExtent l="0" t="0" r="0" b="0"/>
            <wp:docPr id="50" name="Immagin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581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B7DF1C" w14:textId="4CC37050" w:rsidR="00032FDE" w:rsidRPr="00BB61AF" w:rsidRDefault="00032FDE" w:rsidP="00032FDE">
      <w:pPr>
        <w:pStyle w:val="MDPI51figurecaption"/>
        <w:rPr>
          <w:b/>
          <w:bCs/>
        </w:rPr>
      </w:pPr>
      <w:r w:rsidRPr="00032FDE">
        <w:rPr>
          <w:b/>
          <w:bCs/>
        </w:rPr>
        <w:t xml:space="preserve">Figure 7. </w:t>
      </w:r>
      <w:r>
        <w:t>Bar chart summarizing the trends of ellagitannins (</w:t>
      </w:r>
      <w:r w:rsidRPr="00032FDE">
        <w:rPr>
          <w:b/>
          <w:bCs/>
        </w:rPr>
        <w:t>A</w:t>
      </w:r>
      <w:r>
        <w:t>) and proanthocyanidins (</w:t>
      </w:r>
      <w:r w:rsidRPr="00032FDE">
        <w:rPr>
          <w:b/>
          <w:bCs/>
        </w:rPr>
        <w:t>B</w:t>
      </w:r>
      <w:r>
        <w:t>) in the five analyzed fractions in terms of total peak areas.</w:t>
      </w:r>
    </w:p>
    <w:p w14:paraId="13F71ADA" w14:textId="77777777" w:rsidR="00032FDE" w:rsidRDefault="00032FDE" w:rsidP="00032FDE">
      <w:pPr>
        <w:pStyle w:val="MDPI31text"/>
        <w:rPr>
          <w:lang w:val="en-GB"/>
        </w:rPr>
      </w:pPr>
      <w:r w:rsidRPr="00645792">
        <w:rPr>
          <w:lang w:val="en-GB"/>
        </w:rPr>
        <w:t>Phenolic acids are almost equally shared by fraction 3 and 5, with minor con</w:t>
      </w:r>
      <w:r>
        <w:rPr>
          <w:lang w:val="en-GB"/>
        </w:rPr>
        <w:t>c</w:t>
      </w:r>
      <w:r w:rsidRPr="00645792">
        <w:rPr>
          <w:lang w:val="en-GB"/>
        </w:rPr>
        <w:t xml:space="preserve">entrations in fractions 4 and 6. </w:t>
      </w:r>
    </w:p>
    <w:p w14:paraId="09CDE355" w14:textId="77777777" w:rsidR="00032FDE" w:rsidRPr="00645792" w:rsidRDefault="00032FDE" w:rsidP="00032FDE">
      <w:pPr>
        <w:pStyle w:val="MDPI52figure"/>
        <w:rPr>
          <w:lang w:val="en-GB"/>
        </w:rPr>
      </w:pPr>
      <w:r w:rsidRPr="00BB61AF">
        <w:rPr>
          <w:noProof/>
        </w:rPr>
        <w:lastRenderedPageBreak/>
        <w:drawing>
          <wp:inline distT="0" distB="0" distL="0" distR="0" wp14:anchorId="1F9A8E85" wp14:editId="075A431C">
            <wp:extent cx="4572000" cy="2743200"/>
            <wp:effectExtent l="0" t="0" r="0" b="0"/>
            <wp:docPr id="51" name="Grafico 51">
              <a:extLst xmlns:a="http://schemas.openxmlformats.org/drawingml/2006/main">
                <a:ext uri="{FF2B5EF4-FFF2-40B4-BE49-F238E27FC236}">
                  <a16:creationId xmlns:a16="http://schemas.microsoft.com/office/drawing/2014/main" id="{96B8061E-BF30-4EEA-AE33-86E4E625F06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14:paraId="4A4D5EB2" w14:textId="46A295EB" w:rsidR="00032FDE" w:rsidRPr="00032FDE" w:rsidRDefault="00032FDE" w:rsidP="00032FDE">
      <w:pPr>
        <w:pStyle w:val="MDPI51figurecaption"/>
        <w:rPr>
          <w:b/>
          <w:bCs/>
        </w:rPr>
      </w:pPr>
      <w:r w:rsidRPr="00032FDE">
        <w:rPr>
          <w:b/>
          <w:bCs/>
        </w:rPr>
        <w:t xml:space="preserve">Figure 8. </w:t>
      </w:r>
      <w:r>
        <w:t>Bar chart summarizing the trends of phenolic acids in the five analyzed fractions in terms of total peak area.</w:t>
      </w:r>
    </w:p>
    <w:p w14:paraId="6E4259FF" w14:textId="724AE1E4" w:rsidR="00032FDE" w:rsidRDefault="00032FDE" w:rsidP="00032FDE">
      <w:pPr>
        <w:pStyle w:val="MDPI31text"/>
        <w:rPr>
          <w:lang w:val="en-GB"/>
        </w:rPr>
      </w:pPr>
      <w:r w:rsidRPr="00645792">
        <w:rPr>
          <w:lang w:val="en-GB"/>
        </w:rPr>
        <w:t xml:space="preserve">Finally, as regards flavonoids, their trend should be evaluated not only in terms of their area but also for their nature. In fraction 3 and 4, more hydrophilic flavanols, such as catechin and gallocatechin derivatives, are the main species present, while in fraction 5 and 6 more hydrophobic flavonols and </w:t>
      </w:r>
      <w:r w:rsidRPr="00645792">
        <w:rPr>
          <w:i/>
          <w:iCs/>
          <w:lang w:val="en-GB"/>
        </w:rPr>
        <w:t>O</w:t>
      </w:r>
      <w:r w:rsidRPr="00645792">
        <w:rPr>
          <w:lang w:val="en-GB"/>
        </w:rPr>
        <w:t xml:space="preserve">-methyl flavonols derivatives are much more abundant. </w:t>
      </w:r>
    </w:p>
    <w:p w14:paraId="3DC8ED93" w14:textId="77777777" w:rsidR="00032FDE" w:rsidRPr="00032FDE" w:rsidRDefault="00032FDE" w:rsidP="00032FDE">
      <w:pPr>
        <w:pStyle w:val="MDPI31text"/>
        <w:rPr>
          <w:lang w:val="en-GB"/>
        </w:rPr>
      </w:pPr>
    </w:p>
    <w:p w14:paraId="028387F2" w14:textId="77777777" w:rsidR="00032FDE" w:rsidRDefault="00032FDE" w:rsidP="00032FDE">
      <w:pPr>
        <w:pStyle w:val="MDPI52figure"/>
        <w:rPr>
          <w:lang w:val="en-GB"/>
        </w:rPr>
      </w:pPr>
      <w:r w:rsidRPr="00BB61AF">
        <w:rPr>
          <w:noProof/>
        </w:rPr>
        <w:drawing>
          <wp:inline distT="0" distB="0" distL="0" distR="0" wp14:anchorId="2CCD44E4" wp14:editId="59D8AFC0">
            <wp:extent cx="4267200" cy="2486025"/>
            <wp:effectExtent l="0" t="0" r="0" b="9525"/>
            <wp:docPr id="52" name="Grafico 52">
              <a:extLst xmlns:a="http://schemas.openxmlformats.org/drawingml/2006/main">
                <a:ext uri="{FF2B5EF4-FFF2-40B4-BE49-F238E27FC236}">
                  <a16:creationId xmlns:a16="http://schemas.microsoft.com/office/drawing/2014/main" id="{93810931-D858-4C82-A526-F5193F1F8E5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14:paraId="0B030F95" w14:textId="4C9B063B" w:rsidR="00032FDE" w:rsidRPr="00BB61AF" w:rsidRDefault="00032FDE" w:rsidP="00032FDE">
      <w:pPr>
        <w:pStyle w:val="MDPI51figurecaption"/>
        <w:rPr>
          <w:b/>
          <w:bCs/>
        </w:rPr>
      </w:pPr>
      <w:r w:rsidRPr="00032FDE">
        <w:rPr>
          <w:b/>
          <w:bCs/>
        </w:rPr>
        <w:t xml:space="preserve">Figure 9. </w:t>
      </w:r>
      <w:r>
        <w:t>Bar chart summarizing the trends of flavonoids in the five analyzed fractions in terms of total peak area.</w:t>
      </w:r>
    </w:p>
    <w:p w14:paraId="0F79713F" w14:textId="77777777" w:rsidR="00032FDE" w:rsidRPr="00E030B0" w:rsidRDefault="00032FDE" w:rsidP="00032FDE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p w14:paraId="40FA2524" w14:textId="32C68ED5" w:rsidR="00032FDE" w:rsidRDefault="006E6357" w:rsidP="00032FDE">
      <w:pPr>
        <w:pStyle w:val="MDPI52figure"/>
      </w:pPr>
      <w:r>
        <w:rPr>
          <w:noProof/>
        </w:rPr>
        <w:lastRenderedPageBreak/>
        <w:drawing>
          <wp:inline distT="0" distB="0" distL="0" distR="0" wp14:anchorId="439CD3BF" wp14:editId="0C87048F">
            <wp:extent cx="5163820" cy="341376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3820" cy="3413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3A8542" w14:textId="197F86BD" w:rsidR="00605BAA" w:rsidRPr="00032FDE" w:rsidRDefault="00032FDE" w:rsidP="00032FDE">
      <w:pPr>
        <w:pStyle w:val="MDPI51figurecaption"/>
      </w:pPr>
      <w:r w:rsidRPr="00032FDE">
        <w:rPr>
          <w:b/>
          <w:bCs/>
        </w:rPr>
        <w:t xml:space="preserve">Figure 10. </w:t>
      </w:r>
      <w:r>
        <w:t>Bar chart summarizing the trends of flavan and flavone derivatives in the five analyzed fractions in terms of relative abundance.</w:t>
      </w:r>
    </w:p>
    <w:sectPr w:rsidR="00605BAA" w:rsidRPr="00032FDE" w:rsidSect="00032FDE">
      <w:headerReference w:type="even" r:id="rId17"/>
      <w:headerReference w:type="default" r:id="rId18"/>
      <w:footerReference w:type="default" r:id="rId19"/>
      <w:headerReference w:type="first" r:id="rId20"/>
      <w:footerReference w:type="first" r:id="rId21"/>
      <w:pgSz w:w="11906" w:h="16838" w:code="9"/>
      <w:pgMar w:top="1417" w:right="1531" w:bottom="1077" w:left="1531" w:header="1020" w:footer="850" w:gutter="0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8EBF30" w14:textId="77777777" w:rsidR="00DF291E" w:rsidRDefault="00DF291E">
      <w:pPr>
        <w:spacing w:line="240" w:lineRule="auto"/>
      </w:pPr>
      <w:r>
        <w:separator/>
      </w:r>
    </w:p>
  </w:endnote>
  <w:endnote w:type="continuationSeparator" w:id="0">
    <w:p w14:paraId="145E1667" w14:textId="77777777" w:rsidR="00DF291E" w:rsidRDefault="00DF29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A12FE7" w14:textId="77777777" w:rsidR="007D0675" w:rsidRPr="00994E2E" w:rsidRDefault="007D0675" w:rsidP="007D0675">
    <w:pPr>
      <w:pStyle w:val="Footer"/>
      <w:spacing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0DEB9" w14:textId="7D3FE341" w:rsidR="007D0675" w:rsidRPr="008B308E" w:rsidRDefault="00BE6B2C" w:rsidP="005C1668">
    <w:pPr>
      <w:pStyle w:val="MDPIfooterfirstpage"/>
      <w:spacing w:line="240" w:lineRule="auto"/>
      <w:jc w:val="both"/>
      <w:rPr>
        <w:lang w:val="fr-CH"/>
      </w:rPr>
    </w:pPr>
    <w:r w:rsidRPr="008B308E">
      <w:rPr>
        <w:lang w:val="fr-CH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73A11E" w14:textId="77777777" w:rsidR="00DF291E" w:rsidRDefault="00DF291E">
      <w:pPr>
        <w:spacing w:line="240" w:lineRule="auto"/>
      </w:pPr>
      <w:r>
        <w:separator/>
      </w:r>
    </w:p>
  </w:footnote>
  <w:footnote w:type="continuationSeparator" w:id="0">
    <w:p w14:paraId="50AEB910" w14:textId="77777777" w:rsidR="00DF291E" w:rsidRDefault="00DF291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0CB7" w14:textId="77777777" w:rsidR="007D0675" w:rsidRDefault="007D0675" w:rsidP="007D0675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1D22FB" w14:textId="323FBC09" w:rsidR="007D0675" w:rsidRPr="004C36F8" w:rsidRDefault="00BE6B2C" w:rsidP="005C1668">
    <w:pPr>
      <w:tabs>
        <w:tab w:val="right" w:pos="8844"/>
      </w:tabs>
      <w:adjustRightInd w:val="0"/>
      <w:snapToGrid w:val="0"/>
      <w:spacing w:after="240" w:line="240" w:lineRule="auto"/>
      <w:rPr>
        <w:rFonts w:ascii="Palatino Linotype" w:hAnsi="Palatino Linotype"/>
        <w:sz w:val="16"/>
      </w:rPr>
    </w:pPr>
    <w:r>
      <w:rPr>
        <w:rFonts w:ascii="Palatino Linotype" w:hAnsi="Palatino Linotype"/>
        <w:sz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0DDDBD" w14:textId="0F5BF6E7" w:rsidR="007D0675" w:rsidRDefault="00470467" w:rsidP="007D0675">
    <w:pPr>
      <w:pStyle w:val="MDPIheaderjournallogo"/>
    </w:pPr>
    <w:r w:rsidRPr="00233EF1">
      <w:rPr>
        <w:i w:val="0"/>
        <w:noProof/>
        <w:szCs w:val="16"/>
        <w:lang w:eastAsia="zh-CN"/>
      </w:rPr>
      <mc:AlternateContent>
        <mc:Choice Requires="wps">
          <w:drawing>
            <wp:anchor distT="45720" distB="45720" distL="114300" distR="114300" simplePos="0" relativeHeight="251657728" behindDoc="1" locked="0" layoutInCell="1" allowOverlap="1" wp14:anchorId="656B0986" wp14:editId="56595443">
              <wp:simplePos x="0" y="0"/>
              <wp:positionH relativeFrom="page">
                <wp:posOffset>6029960</wp:posOffset>
              </wp:positionH>
              <wp:positionV relativeFrom="page">
                <wp:posOffset>647700</wp:posOffset>
              </wp:positionV>
              <wp:extent cx="540385" cy="709295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0385" cy="709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0F0DCF" w14:textId="47266ED1" w:rsidR="007D0675" w:rsidRDefault="007D0675" w:rsidP="007D0675">
                          <w:pPr>
                            <w:pStyle w:val="MDPIheaderjournallogo"/>
                            <w:jc w:val="center"/>
                            <w:textboxTightWrap w:val="allLines"/>
                            <w:rPr>
                              <w:i w:val="0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6B098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74.8pt;margin-top:51pt;width:42.55pt;height:55.85pt;z-index:-251658752;visibility:visible;mso-wrap-style:non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" stroked="f">
              <v:textbox inset="0,0,0,0">
                <w:txbxContent>
                  <w:p w14:paraId="0A0F0DCF" w14:textId="47266ED1" w:rsidR="007D0675" w:rsidRDefault="007D0675" w:rsidP="007D0675">
                    <w:pPr>
                      <w:pStyle w:val="MDPIheaderjournallogo"/>
                      <w:jc w:val="center"/>
                      <w:textboxTightWrap w:val="allLines"/>
                      <w:rPr>
                        <w:i w:val="0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5051C"/>
    <w:multiLevelType w:val="hybridMultilevel"/>
    <w:tmpl w:val="D6480D34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bordersDoNotSurroundHeader/>
  <w:bordersDoNotSurroundFooter/>
  <w:proofState w:grammar="clean"/>
  <w:attachedTemplate r:id="rId1"/>
  <w:defaultTabStop w:val="420"/>
  <w:drawingGridHorizontalSpacing w:val="11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467"/>
    <w:rsid w:val="000012F2"/>
    <w:rsid w:val="00032FDE"/>
    <w:rsid w:val="000368A4"/>
    <w:rsid w:val="00036FB7"/>
    <w:rsid w:val="00080C1D"/>
    <w:rsid w:val="00097E91"/>
    <w:rsid w:val="000B658D"/>
    <w:rsid w:val="000C73A7"/>
    <w:rsid w:val="00103C88"/>
    <w:rsid w:val="00131CEC"/>
    <w:rsid w:val="00141821"/>
    <w:rsid w:val="00177DD2"/>
    <w:rsid w:val="001E2AEB"/>
    <w:rsid w:val="002136A6"/>
    <w:rsid w:val="00226A72"/>
    <w:rsid w:val="00260559"/>
    <w:rsid w:val="002A2B46"/>
    <w:rsid w:val="002D1B58"/>
    <w:rsid w:val="00315288"/>
    <w:rsid w:val="00326141"/>
    <w:rsid w:val="00364200"/>
    <w:rsid w:val="003F52B8"/>
    <w:rsid w:val="00401D30"/>
    <w:rsid w:val="004142BD"/>
    <w:rsid w:val="00420FE7"/>
    <w:rsid w:val="00467560"/>
    <w:rsid w:val="00470467"/>
    <w:rsid w:val="004A5983"/>
    <w:rsid w:val="004C32BF"/>
    <w:rsid w:val="004D349E"/>
    <w:rsid w:val="004D4D9F"/>
    <w:rsid w:val="004D5213"/>
    <w:rsid w:val="004E2807"/>
    <w:rsid w:val="004E7DF2"/>
    <w:rsid w:val="004F264C"/>
    <w:rsid w:val="00520649"/>
    <w:rsid w:val="00544265"/>
    <w:rsid w:val="00550473"/>
    <w:rsid w:val="00581588"/>
    <w:rsid w:val="00584C50"/>
    <w:rsid w:val="005B22A9"/>
    <w:rsid w:val="005C1668"/>
    <w:rsid w:val="00605BAA"/>
    <w:rsid w:val="0061526F"/>
    <w:rsid w:val="00635422"/>
    <w:rsid w:val="00692393"/>
    <w:rsid w:val="006D1BD0"/>
    <w:rsid w:val="006E6357"/>
    <w:rsid w:val="006F6D13"/>
    <w:rsid w:val="0071438D"/>
    <w:rsid w:val="007476A3"/>
    <w:rsid w:val="0078191D"/>
    <w:rsid w:val="007D0675"/>
    <w:rsid w:val="007E082D"/>
    <w:rsid w:val="00817180"/>
    <w:rsid w:val="00831D9C"/>
    <w:rsid w:val="00837DBE"/>
    <w:rsid w:val="00881A6D"/>
    <w:rsid w:val="00883C53"/>
    <w:rsid w:val="008E34FF"/>
    <w:rsid w:val="00986B25"/>
    <w:rsid w:val="009926FC"/>
    <w:rsid w:val="009F70E6"/>
    <w:rsid w:val="00A10E28"/>
    <w:rsid w:val="00A273D6"/>
    <w:rsid w:val="00A57CD3"/>
    <w:rsid w:val="00A71348"/>
    <w:rsid w:val="00AA38BE"/>
    <w:rsid w:val="00B53D3C"/>
    <w:rsid w:val="00B610E1"/>
    <w:rsid w:val="00BD2410"/>
    <w:rsid w:val="00BE6B2C"/>
    <w:rsid w:val="00C90DDE"/>
    <w:rsid w:val="00D05A90"/>
    <w:rsid w:val="00D21971"/>
    <w:rsid w:val="00D25A36"/>
    <w:rsid w:val="00D6434F"/>
    <w:rsid w:val="00DF291E"/>
    <w:rsid w:val="00E55545"/>
    <w:rsid w:val="00E817B4"/>
    <w:rsid w:val="00E9271D"/>
    <w:rsid w:val="00EC1E94"/>
    <w:rsid w:val="00EE1162"/>
    <w:rsid w:val="00F54B92"/>
    <w:rsid w:val="00F644C5"/>
    <w:rsid w:val="00F849D3"/>
    <w:rsid w:val="00FF1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409050"/>
  <w15:chartTrackingRefBased/>
  <w15:docId w15:val="{99885621-25B1-4D7B-8F96-2AB6E6644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FD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11articletype">
    <w:name w:val="MDPI_1.1_article_type"/>
    <w:basedOn w:val="MDPI31text"/>
    <w:next w:val="MDPI12title"/>
    <w:qFormat/>
    <w:rsid w:val="00605BAA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605BAA"/>
    <w:pPr>
      <w:adjustRightInd w:val="0"/>
      <w:snapToGrid w:val="0"/>
      <w:spacing w:after="240" w:line="400" w:lineRule="exact"/>
    </w:pPr>
    <w:rPr>
      <w:rFonts w:ascii="Palatino Linotype" w:eastAsia="Times New Roman" w:hAnsi="Palatino Linotype"/>
      <w:b/>
      <w:snapToGrid w:val="0"/>
      <w:color w:val="000000"/>
      <w:sz w:val="36"/>
      <w:lang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605BAA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Normal"/>
    <w:qFormat/>
    <w:rsid w:val="00605BAA"/>
    <w:pPr>
      <w:ind w:left="113"/>
      <w:jc w:val="left"/>
    </w:pPr>
    <w:rPr>
      <w:snapToGrid/>
    </w:rPr>
  </w:style>
  <w:style w:type="paragraph" w:customStyle="1" w:styleId="MDPI16affiliation">
    <w:name w:val="MDPI_1.6_affiliation"/>
    <w:basedOn w:val="MDPI62Acknowledgments"/>
    <w:qFormat/>
    <w:rsid w:val="00605BAA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605BAA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Normal"/>
    <w:qFormat/>
    <w:rsid w:val="00605BAA"/>
    <w:pPr>
      <w:spacing w:before="240"/>
      <w:ind w:left="113" w:firstLine="0"/>
    </w:pPr>
  </w:style>
  <w:style w:type="paragraph" w:customStyle="1" w:styleId="MDPI19line">
    <w:name w:val="MDPI_1.9_line"/>
    <w:basedOn w:val="MDPI31text"/>
    <w:qFormat/>
    <w:rsid w:val="00605BAA"/>
    <w:pPr>
      <w:pBdr>
        <w:bottom w:val="single" w:sz="6" w:space="1" w:color="auto"/>
      </w:pBdr>
      <w:ind w:firstLine="0"/>
    </w:pPr>
    <w:rPr>
      <w:snapToGrid/>
      <w:szCs w:val="24"/>
    </w:rPr>
  </w:style>
  <w:style w:type="table" w:customStyle="1" w:styleId="Mdeck5tablebodythreelines">
    <w:name w:val="M_deck_5_table_body_three_lines"/>
    <w:basedOn w:val="TableNormal"/>
    <w:uiPriority w:val="99"/>
    <w:rsid w:val="00605BAA"/>
    <w:pPr>
      <w:adjustRightInd w:val="0"/>
      <w:snapToGrid w:val="0"/>
      <w:spacing w:line="300" w:lineRule="exact"/>
      <w:jc w:val="center"/>
    </w:pPr>
    <w:rPr>
      <w:rFonts w:ascii="Times New Roman" w:hAnsi="Times New Roman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">
    <w:name w:val="Table Grid"/>
    <w:basedOn w:val="TableNormal"/>
    <w:uiPriority w:val="59"/>
    <w:rsid w:val="00605BA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605BAA"/>
    <w:pPr>
      <w:tabs>
        <w:tab w:val="center" w:pos="4153"/>
        <w:tab w:val="right" w:pos="8306"/>
      </w:tabs>
      <w:snapToGrid w:val="0"/>
      <w:spacing w:after="0" w:line="240" w:lineRule="atLeast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de-DE"/>
    </w:rPr>
  </w:style>
  <w:style w:type="character" w:customStyle="1" w:styleId="FooterChar">
    <w:name w:val="Footer Char"/>
    <w:link w:val="Footer"/>
    <w:uiPriority w:val="99"/>
    <w:rsid w:val="00605BAA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paragraph" w:styleId="Header">
    <w:name w:val="header"/>
    <w:basedOn w:val="Normal"/>
    <w:link w:val="HeaderChar"/>
    <w:uiPriority w:val="99"/>
    <w:rsid w:val="00605B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de-DE"/>
    </w:rPr>
  </w:style>
  <w:style w:type="character" w:customStyle="1" w:styleId="HeaderChar">
    <w:name w:val="Header Char"/>
    <w:link w:val="Header"/>
    <w:uiPriority w:val="99"/>
    <w:rsid w:val="00605BAA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paragraph" w:customStyle="1" w:styleId="MDPIheaderjournallogo">
    <w:name w:val="MDPI_header_journal_logo"/>
    <w:qFormat/>
    <w:rsid w:val="00605BAA"/>
    <w:pPr>
      <w:adjustRightInd w:val="0"/>
      <w:snapToGrid w:val="0"/>
    </w:pPr>
    <w:rPr>
      <w:rFonts w:ascii="Palatino Linotype" w:eastAsia="Times New Roman" w:hAnsi="Palatino Linotype"/>
      <w:i/>
      <w:color w:val="000000"/>
      <w:sz w:val="24"/>
      <w:szCs w:val="22"/>
      <w:lang w:eastAsia="de-CH"/>
    </w:rPr>
  </w:style>
  <w:style w:type="paragraph" w:customStyle="1" w:styleId="MDPI32textnoindent">
    <w:name w:val="MDPI_3.2_text_no_indent"/>
    <w:basedOn w:val="MDPI31text"/>
    <w:qFormat/>
    <w:rsid w:val="00605BAA"/>
    <w:pPr>
      <w:ind w:firstLine="0"/>
    </w:pPr>
  </w:style>
  <w:style w:type="paragraph" w:customStyle="1" w:styleId="MDPI33textspaceafter">
    <w:name w:val="MDPI_3.3_text_space_after"/>
    <w:basedOn w:val="MDPI31text"/>
    <w:qFormat/>
    <w:rsid w:val="00605BAA"/>
    <w:pPr>
      <w:spacing w:after="240"/>
    </w:pPr>
  </w:style>
  <w:style w:type="paragraph" w:customStyle="1" w:styleId="MDPI34textspacebefore">
    <w:name w:val="MDPI_3.4_text_space_before"/>
    <w:basedOn w:val="MDPI31text"/>
    <w:qFormat/>
    <w:rsid w:val="00605BAA"/>
    <w:pPr>
      <w:spacing w:before="240"/>
    </w:pPr>
  </w:style>
  <w:style w:type="paragraph" w:customStyle="1" w:styleId="MDPI35textbeforelist">
    <w:name w:val="MDPI_3.5_text_before_list"/>
    <w:basedOn w:val="MDPI31text"/>
    <w:qFormat/>
    <w:rsid w:val="00605BAA"/>
    <w:pPr>
      <w:spacing w:after="120"/>
    </w:pPr>
  </w:style>
  <w:style w:type="paragraph" w:customStyle="1" w:styleId="MDPI36textafterlist">
    <w:name w:val="MDPI_3.6_text_after_list"/>
    <w:basedOn w:val="MDPI31text"/>
    <w:qFormat/>
    <w:rsid w:val="00605BAA"/>
    <w:pPr>
      <w:spacing w:before="120"/>
    </w:pPr>
  </w:style>
  <w:style w:type="paragraph" w:customStyle="1" w:styleId="MDPI37itemize">
    <w:name w:val="MDPI_3.7_itemize"/>
    <w:basedOn w:val="MDPI31text"/>
    <w:qFormat/>
    <w:rsid w:val="00605BAA"/>
    <w:pPr>
      <w:numPr>
        <w:numId w:val="1"/>
      </w:numPr>
      <w:ind w:left="425" w:hanging="425"/>
    </w:pPr>
  </w:style>
  <w:style w:type="paragraph" w:customStyle="1" w:styleId="MDPI38bullet">
    <w:name w:val="MDPI_3.8_bullet"/>
    <w:basedOn w:val="MDPI31text"/>
    <w:qFormat/>
    <w:rsid w:val="00605BAA"/>
    <w:pPr>
      <w:numPr>
        <w:numId w:val="2"/>
      </w:numPr>
      <w:ind w:left="425" w:hanging="425"/>
    </w:pPr>
  </w:style>
  <w:style w:type="paragraph" w:customStyle="1" w:styleId="MDPI39equation">
    <w:name w:val="MDPI_3.9_equation"/>
    <w:basedOn w:val="MDPI31text"/>
    <w:qFormat/>
    <w:rsid w:val="00605BAA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605BAA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605BAA"/>
    <w:pPr>
      <w:adjustRightInd w:val="0"/>
      <w:snapToGrid w:val="0"/>
      <w:spacing w:before="120" w:line="200" w:lineRule="atLeast"/>
      <w:jc w:val="both"/>
    </w:pPr>
    <w:rPr>
      <w:rFonts w:ascii="Palatino Linotype" w:eastAsia="Times New Roman" w:hAnsi="Palatino Linotype"/>
      <w:snapToGrid w:val="0"/>
      <w:color w:val="000000"/>
      <w:sz w:val="18"/>
      <w:lang w:eastAsia="de-DE" w:bidi="en-US"/>
    </w:rPr>
  </w:style>
  <w:style w:type="paragraph" w:customStyle="1" w:styleId="MDPI41tablecaption">
    <w:name w:val="MDPI_4.1_table_caption"/>
    <w:basedOn w:val="MDPI62Acknowledgments"/>
    <w:qFormat/>
    <w:rsid w:val="00605BAA"/>
    <w:pPr>
      <w:spacing w:before="240" w:after="120" w:line="260" w:lineRule="atLeast"/>
      <w:ind w:left="425" w:right="425"/>
    </w:pPr>
    <w:rPr>
      <w:snapToGrid/>
      <w:szCs w:val="22"/>
    </w:rPr>
  </w:style>
  <w:style w:type="paragraph" w:customStyle="1" w:styleId="MDPI42tablebody">
    <w:name w:val="MDPI_4.2_table_body"/>
    <w:qFormat/>
    <w:rsid w:val="00036FB7"/>
    <w:pPr>
      <w:adjustRightInd w:val="0"/>
      <w:snapToGrid w:val="0"/>
      <w:spacing w:line="260" w:lineRule="atLeast"/>
      <w:jc w:val="center"/>
    </w:pPr>
    <w:rPr>
      <w:rFonts w:ascii="Palatino Linotype" w:eastAsia="Times New Roman" w:hAnsi="Palatino Linotype"/>
      <w:snapToGrid w:val="0"/>
      <w:color w:val="000000"/>
      <w:lang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605BAA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605BAA"/>
    <w:pPr>
      <w:spacing w:after="240" w:line="260" w:lineRule="atLeast"/>
      <w:ind w:left="425" w:right="425"/>
    </w:pPr>
    <w:rPr>
      <w:snapToGrid/>
    </w:rPr>
  </w:style>
  <w:style w:type="paragraph" w:customStyle="1" w:styleId="MDPI52figure">
    <w:name w:val="MDPI_5.2_figure"/>
    <w:qFormat/>
    <w:rsid w:val="00605BAA"/>
    <w:pPr>
      <w:jc w:val="center"/>
    </w:pPr>
    <w:rPr>
      <w:rFonts w:ascii="Palatino Linotype" w:eastAsia="Times New Roman" w:hAnsi="Palatino Linotype"/>
      <w:snapToGrid w:val="0"/>
      <w:color w:val="000000"/>
      <w:sz w:val="24"/>
      <w:lang w:eastAsia="de-DE" w:bidi="en-US"/>
    </w:rPr>
  </w:style>
  <w:style w:type="paragraph" w:customStyle="1" w:styleId="MDPI61Supplementary">
    <w:name w:val="MDPI_6.1_Supplementary"/>
    <w:basedOn w:val="MDPI62Acknowledgments"/>
    <w:qFormat/>
    <w:rsid w:val="00605BAA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605BAA"/>
    <w:rPr>
      <w:rFonts w:eastAsia="SimSun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605BAA"/>
  </w:style>
  <w:style w:type="paragraph" w:customStyle="1" w:styleId="MDPI81theorem">
    <w:name w:val="MDPI_8.1_theorem"/>
    <w:basedOn w:val="MDPI32textnoindent"/>
    <w:qFormat/>
    <w:rsid w:val="00605BAA"/>
    <w:rPr>
      <w:i/>
    </w:rPr>
  </w:style>
  <w:style w:type="paragraph" w:customStyle="1" w:styleId="MDPI82proof">
    <w:name w:val="MDPI_8.2_proof"/>
    <w:basedOn w:val="MDPI32textnoindent"/>
    <w:qFormat/>
    <w:rsid w:val="00605BAA"/>
  </w:style>
  <w:style w:type="paragraph" w:customStyle="1" w:styleId="MDPIfooterfirstpage">
    <w:name w:val="MDPI_footer_firstpage"/>
    <w:basedOn w:val="Normal"/>
    <w:qFormat/>
    <w:rsid w:val="00605BAA"/>
    <w:pPr>
      <w:tabs>
        <w:tab w:val="right" w:pos="8845"/>
      </w:tabs>
      <w:adjustRightInd w:val="0"/>
      <w:snapToGrid w:val="0"/>
      <w:spacing w:before="120" w:after="0" w:line="160" w:lineRule="exact"/>
    </w:pPr>
    <w:rPr>
      <w:rFonts w:ascii="Palatino Linotype" w:eastAsia="Times New Roman" w:hAnsi="Palatino Linotype" w:cs="Times New Roman"/>
      <w:sz w:val="16"/>
      <w:szCs w:val="20"/>
      <w:lang w:eastAsia="de-DE"/>
    </w:rPr>
  </w:style>
  <w:style w:type="paragraph" w:customStyle="1" w:styleId="MDPI31text">
    <w:name w:val="MDPI_3.1_text"/>
    <w:qFormat/>
    <w:rsid w:val="00605BAA"/>
    <w:pPr>
      <w:adjustRightInd w:val="0"/>
      <w:snapToGrid w:val="0"/>
      <w:spacing w:line="260" w:lineRule="atLeast"/>
      <w:ind w:firstLine="425"/>
      <w:jc w:val="both"/>
    </w:pPr>
    <w:rPr>
      <w:rFonts w:ascii="Palatino Linotype" w:eastAsia="Times New Roman" w:hAnsi="Palatino Linotype"/>
      <w:snapToGrid w:val="0"/>
      <w:color w:val="000000"/>
      <w:szCs w:val="22"/>
      <w:lang w:eastAsia="de-DE" w:bidi="en-US"/>
    </w:rPr>
  </w:style>
  <w:style w:type="paragraph" w:customStyle="1" w:styleId="MDPI23heading3">
    <w:name w:val="MDPI_2.3_heading3"/>
    <w:basedOn w:val="MDPI31text"/>
    <w:qFormat/>
    <w:rsid w:val="00605BAA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605BAA"/>
    <w:pPr>
      <w:outlineLvl w:val="0"/>
    </w:pPr>
    <w:rPr>
      <w:b/>
    </w:rPr>
  </w:style>
  <w:style w:type="paragraph" w:customStyle="1" w:styleId="MDPI22heading2">
    <w:name w:val="MDPI_2.2_heading2"/>
    <w:basedOn w:val="Normal"/>
    <w:qFormat/>
    <w:rsid w:val="00605BAA"/>
    <w:pPr>
      <w:kinsoku w:val="0"/>
      <w:overflowPunct w:val="0"/>
      <w:autoSpaceDE w:val="0"/>
      <w:autoSpaceDN w:val="0"/>
      <w:adjustRightInd w:val="0"/>
      <w:snapToGrid w:val="0"/>
      <w:spacing w:before="240" w:after="120" w:line="260" w:lineRule="atLeast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eastAsia="de-DE" w:bidi="en-US"/>
    </w:rPr>
  </w:style>
  <w:style w:type="paragraph" w:customStyle="1" w:styleId="MDPI71References">
    <w:name w:val="MDPI_7.1_References"/>
    <w:basedOn w:val="MDPI62Acknowledgments"/>
    <w:qFormat/>
    <w:rsid w:val="00605BAA"/>
    <w:pPr>
      <w:numPr>
        <w:numId w:val="3"/>
      </w:numPr>
      <w:spacing w:before="0" w:line="26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5BAA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de-DE"/>
    </w:rPr>
  </w:style>
  <w:style w:type="character" w:customStyle="1" w:styleId="BalloonTextChar">
    <w:name w:val="Balloon Text Char"/>
    <w:link w:val="BalloonText"/>
    <w:uiPriority w:val="99"/>
    <w:semiHidden/>
    <w:rsid w:val="00605BAA"/>
    <w:rPr>
      <w:rFonts w:ascii="Times New Roman" w:eastAsia="Times New Roman" w:hAnsi="Times New Roman" w:cs="Times New Roman"/>
      <w:color w:val="000000"/>
      <w:kern w:val="0"/>
      <w:sz w:val="18"/>
      <w:szCs w:val="18"/>
      <w:lang w:eastAsia="de-DE"/>
    </w:rPr>
  </w:style>
  <w:style w:type="character" w:styleId="LineNumber">
    <w:name w:val="line number"/>
    <w:basedOn w:val="DefaultParagraphFont"/>
    <w:uiPriority w:val="99"/>
    <w:semiHidden/>
    <w:unhideWhenUsed/>
    <w:rsid w:val="00605BAA"/>
  </w:style>
  <w:style w:type="table" w:customStyle="1" w:styleId="MDPI41threelinetable">
    <w:name w:val="MDPI_4.1_three_line_table"/>
    <w:basedOn w:val="TableNormal"/>
    <w:uiPriority w:val="99"/>
    <w:rsid w:val="00036FB7"/>
    <w:pPr>
      <w:adjustRightInd w:val="0"/>
      <w:snapToGrid w:val="0"/>
      <w:jc w:val="center"/>
    </w:pPr>
    <w:rPr>
      <w:rFonts w:ascii="Palatino Linotype" w:hAnsi="Palatino Linotype"/>
      <w:color w:val="000000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Calibri Light" w:hAnsi="Calibri Light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Hyperlink">
    <w:name w:val="Hyperlink"/>
    <w:uiPriority w:val="99"/>
    <w:unhideWhenUsed/>
    <w:rsid w:val="00097E91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A10E28"/>
    <w:rPr>
      <w:color w:val="605E5C"/>
      <w:shd w:val="clear" w:color="auto" w:fill="E1DFDD"/>
    </w:rPr>
  </w:style>
  <w:style w:type="table" w:styleId="PlainTable4">
    <w:name w:val="Plain Table 4"/>
    <w:basedOn w:val="TableNormal"/>
    <w:uiPriority w:val="44"/>
    <w:rsid w:val="00103C8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032F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2F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2FDE"/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iso-8859-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chart" Target="charts/chart2.xml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chart" Target="charts/chart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lin%20Cadar\Downloads\molecules-template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ichela\Desktop\Andrea\Buccia%20castagna%20frazioni\Excel\Confronto%20fra%20le%20frazioni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ichela\Desktop\Andrea\Buccia%20castagna%20frazioni\Excel\Confronto%20fra%20le%20frazioni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'Confronto per classe'!$B$27</c:f>
              <c:strCache>
                <c:ptCount val="1"/>
                <c:pt idx="0">
                  <c:v>Total Phenolic acid Area</c:v>
                </c:pt>
              </c:strCache>
            </c:strRef>
          </c:tx>
          <c:spPr>
            <a:solidFill>
              <a:srgbClr val="FF0000">
                <a:alpha val="40000"/>
              </a:srgb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0" i="0" u="none" strike="noStrike" kern="1200" baseline="0">
                    <a:solidFill>
                      <a:sysClr val="windowText" lastClr="000000"/>
                    </a:solidFill>
                    <a:latin typeface="Arial Nova Light" panose="020B0304020202020204" pitchFamily="34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'Confronto per classe'!$A$28:$A$32</c:f>
              <c:strCache>
                <c:ptCount val="5"/>
                <c:pt idx="0">
                  <c:v>Fraction 3</c:v>
                </c:pt>
                <c:pt idx="1">
                  <c:v>Fraction 4</c:v>
                </c:pt>
                <c:pt idx="2">
                  <c:v>Fraction 5</c:v>
                </c:pt>
                <c:pt idx="3">
                  <c:v>Fraction 6</c:v>
                </c:pt>
                <c:pt idx="4">
                  <c:v>Fraction 7</c:v>
                </c:pt>
              </c:strCache>
            </c:strRef>
          </c:cat>
          <c:val>
            <c:numRef>
              <c:f>'Confronto per classe'!$B$28:$B$32</c:f>
              <c:numCache>
                <c:formatCode>0.00E+00</c:formatCode>
                <c:ptCount val="5"/>
                <c:pt idx="0">
                  <c:v>350304142.96634698</c:v>
                </c:pt>
                <c:pt idx="1">
                  <c:v>84416922.712716103</c:v>
                </c:pt>
                <c:pt idx="2">
                  <c:v>258875057.65632999</c:v>
                </c:pt>
                <c:pt idx="3">
                  <c:v>66949505.115634002</c:v>
                </c:pt>
                <c:pt idx="4">
                  <c:v>9430454.8604309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711-4B9D-8CE5-4E318E7488C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0"/>
        <c:overlap val="25"/>
        <c:axId val="-2146243336"/>
        <c:axId val="2132156776"/>
      </c:barChart>
      <c:catAx>
        <c:axId val="-21462433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587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cap="none" spc="20" normalizeH="0" baseline="0">
                <a:solidFill>
                  <a:sysClr val="windowText" lastClr="000000"/>
                </a:solidFill>
                <a:latin typeface="Arial Nova Light" panose="020B0304020202020204" pitchFamily="34" charset="0"/>
                <a:ea typeface="+mn-ea"/>
                <a:cs typeface="+mn-cs"/>
              </a:defRPr>
            </a:pPr>
            <a:endParaRPr lang="en-US"/>
          </a:p>
        </c:txPr>
        <c:crossAx val="2132156776"/>
        <c:crosses val="autoZero"/>
        <c:auto val="1"/>
        <c:lblAlgn val="ctr"/>
        <c:lblOffset val="100"/>
        <c:noMultiLvlLbl val="0"/>
      </c:catAx>
      <c:valAx>
        <c:axId val="21321567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ajorGridlines>
        <c:numFmt formatCode="0.00E+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Arial Nova Light" panose="020B0304020202020204" pitchFamily="34" charset="0"/>
                <a:ea typeface="+mn-ea"/>
                <a:cs typeface="+mn-cs"/>
              </a:defRPr>
            </a:pPr>
            <a:endParaRPr lang="en-US"/>
          </a:p>
        </c:txPr>
        <c:crossAx val="-2146243336"/>
        <c:crosses val="autoZero"/>
        <c:crossBetween val="between"/>
        <c:majorUnit val="100000000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 algn="just"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'Confronto per classe'!$B$11</c:f>
              <c:strCache>
                <c:ptCount val="1"/>
                <c:pt idx="0">
                  <c:v>Total Flavonoid Area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  <a:alpha val="7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0" i="0" u="none" strike="noStrike" kern="1200" baseline="0">
                    <a:solidFill>
                      <a:sysClr val="windowText" lastClr="000000"/>
                    </a:solidFill>
                    <a:latin typeface="Arial Nova Light" panose="020B0304020202020204" pitchFamily="34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'Confronto per classe'!$A$12:$A$16</c:f>
              <c:strCache>
                <c:ptCount val="5"/>
                <c:pt idx="0">
                  <c:v>Fraction 3</c:v>
                </c:pt>
                <c:pt idx="1">
                  <c:v>Fraction 4</c:v>
                </c:pt>
                <c:pt idx="2">
                  <c:v>Fraction 5</c:v>
                </c:pt>
                <c:pt idx="3">
                  <c:v>Fraction 6</c:v>
                </c:pt>
                <c:pt idx="4">
                  <c:v>Fraction 7</c:v>
                </c:pt>
              </c:strCache>
            </c:strRef>
          </c:cat>
          <c:val>
            <c:numRef>
              <c:f>'Confronto per classe'!$B$12:$B$16</c:f>
              <c:numCache>
                <c:formatCode>0.00E+00</c:formatCode>
                <c:ptCount val="5"/>
                <c:pt idx="0">
                  <c:v>357349245.12377799</c:v>
                </c:pt>
                <c:pt idx="1">
                  <c:v>1666761021.5603299</c:v>
                </c:pt>
                <c:pt idx="2">
                  <c:v>303397919.699085</c:v>
                </c:pt>
                <c:pt idx="3">
                  <c:v>235323567.45573801</c:v>
                </c:pt>
                <c:pt idx="4">
                  <c:v>21801972.362243202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556-4214-88E7-A60BC634C6A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0"/>
        <c:overlap val="25"/>
        <c:axId val="2134067768"/>
        <c:axId val="2134093176"/>
      </c:barChart>
      <c:catAx>
        <c:axId val="21340677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587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cap="none" spc="20" normalizeH="0" baseline="0">
                <a:solidFill>
                  <a:sysClr val="windowText" lastClr="000000"/>
                </a:solidFill>
                <a:latin typeface="Arial Nova Light" panose="020B0304020202020204" pitchFamily="34" charset="0"/>
                <a:ea typeface="+mn-ea"/>
                <a:cs typeface="+mn-cs"/>
              </a:defRPr>
            </a:pPr>
            <a:endParaRPr lang="en-US"/>
          </a:p>
        </c:txPr>
        <c:crossAx val="2134093176"/>
        <c:crosses val="autoZero"/>
        <c:auto val="1"/>
        <c:lblAlgn val="ctr"/>
        <c:lblOffset val="100"/>
        <c:noMultiLvlLbl val="0"/>
      </c:catAx>
      <c:valAx>
        <c:axId val="21340931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ajorGridlines>
        <c:numFmt formatCode="0.00E+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Arial Nova Light" panose="020B0304020202020204" pitchFamily="34" charset="0"/>
                <a:ea typeface="+mn-ea"/>
                <a:cs typeface="+mn-cs"/>
              </a:defRPr>
            </a:pPr>
            <a:endParaRPr lang="en-US"/>
          </a:p>
        </c:txPr>
        <c:crossAx val="2134067768"/>
        <c:crosses val="autoZero"/>
        <c:crossBetween val="between"/>
        <c:majorUnit val="500000000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lt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587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 cap="none" spc="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>
            <a:alpha val="70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 baseline="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1600" b="0" i="0" kern="1200" cap="none" spc="5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587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15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587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 cap="none" spc="2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bg1"/>
    </cs:fontRef>
    <cs:spPr>
      <a:solidFill>
        <a:schemeClr val="tx1">
          <a:lumMod val="50000"/>
          <a:lumOff val="50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>
            <a:alpha val="70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70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 baseline="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1600" b="0" i="0" kern="1200" cap="none" spc="5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587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molecules-template.dot</Template>
  <TotalTime>18</TotalTime>
  <Pages>9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Links>
    <vt:vector size="6" baseType="variant">
      <vt:variant>
        <vt:i4>6094915</vt:i4>
      </vt:variant>
      <vt:variant>
        <vt:i4>0</vt:i4>
      </vt:variant>
      <vt:variant>
        <vt:i4>0</vt:i4>
      </vt:variant>
      <vt:variant>
        <vt:i4>5</vt:i4>
      </vt:variant>
      <vt:variant>
        <vt:lpwstr>http://img.mdpi.org/data/contributor-role-instruction.pdf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Calin Cadar</dc:creator>
  <cp:keywords/>
  <dc:description/>
  <cp:lastModifiedBy>MDPI-15</cp:lastModifiedBy>
  <cp:revision>3</cp:revision>
  <dcterms:created xsi:type="dcterms:W3CDTF">2020-06-12T07:07:00Z</dcterms:created>
  <dcterms:modified xsi:type="dcterms:W3CDTF">2020-06-12T08:23:00Z</dcterms:modified>
</cp:coreProperties>
</file>